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271D26" w:rsidRPr="00271D26" w:rsidP="00271D26">
      <w:pPr>
        <w:jc w:val="right"/>
        <w:rPr>
          <w:rFonts w:cs="Arial"/>
          <w:b/>
          <w:szCs w:val="24"/>
        </w:rPr>
      </w:pPr>
      <w:bookmarkStart w:id="0" w:name="_GoBack"/>
      <w:bookmarkEnd w:id="0"/>
    </w:p>
    <w:p w:rsidR="00271D26" w:rsidRPr="00271D26" w:rsidP="00271D26">
      <w:pPr>
        <w:jc w:val="center"/>
        <w:rPr>
          <w:rFonts w:cs="Arial"/>
          <w:b/>
          <w:szCs w:val="24"/>
        </w:rPr>
      </w:pPr>
      <w:r w:rsidRPr="00271D26">
        <w:rPr>
          <w:rFonts w:cs="Arial"/>
          <w:b/>
          <w:szCs w:val="24"/>
        </w:rPr>
        <w:t>Carr Hill High School and Sixth Form Centre</w:t>
      </w:r>
    </w:p>
    <w:p w:rsidR="00975444" w:rsidRPr="00271D26" w:rsidP="00271D26">
      <w:pPr>
        <w:rPr>
          <w:rFonts w:cs="Arial"/>
          <w:szCs w:val="24"/>
        </w:rPr>
      </w:pPr>
    </w:p>
    <w:p w:rsidR="00271D26" w:rsidRPr="00271D26" w:rsidP="00271D26">
      <w:pPr>
        <w:rPr>
          <w:rFonts w:cs="Arial"/>
          <w:szCs w:val="24"/>
        </w:rPr>
      </w:pPr>
      <w:r>
        <w:rPr>
          <w:rFonts w:cs="Arial"/>
          <w:szCs w:val="24"/>
        </w:rPr>
        <w:t xml:space="preserve">The information set out below provides more detail on </w:t>
      </w:r>
      <w:r w:rsidRPr="00271D26">
        <w:rPr>
          <w:rFonts w:cs="Arial"/>
          <w:szCs w:val="24"/>
        </w:rPr>
        <w:t xml:space="preserve">a number of factors </w:t>
      </w:r>
      <w:r>
        <w:rPr>
          <w:rFonts w:cs="Arial"/>
          <w:szCs w:val="24"/>
        </w:rPr>
        <w:t xml:space="preserve">which need to be considered in relation to this proposal.  </w:t>
      </w:r>
      <w:r w:rsidRPr="00271D26">
        <w:rPr>
          <w:rFonts w:cs="Arial"/>
          <w:szCs w:val="24"/>
        </w:rPr>
        <w:t xml:space="preserve">   </w:t>
      </w:r>
    </w:p>
    <w:p w:rsidR="00271D26" w:rsidRPr="00271D26" w:rsidP="00271D26">
      <w:pPr>
        <w:rPr>
          <w:rFonts w:cs="Arial"/>
          <w:szCs w:val="24"/>
        </w:rPr>
      </w:pPr>
    </w:p>
    <w:p w:rsidR="00271D26" w:rsidRPr="00271D26" w:rsidP="00271D26">
      <w:pPr>
        <w:rPr>
          <w:rFonts w:cs="Arial"/>
          <w:b/>
          <w:szCs w:val="24"/>
        </w:rPr>
      </w:pPr>
      <w:r>
        <w:rPr>
          <w:rFonts w:cs="Arial"/>
          <w:b/>
          <w:szCs w:val="24"/>
        </w:rPr>
        <w:t>Student Numbers and Associated Funding</w:t>
      </w:r>
    </w:p>
    <w:p w:rsidR="00271D26" w:rsidRPr="00271D26" w:rsidP="00271D26">
      <w:pPr>
        <w:rPr>
          <w:rFonts w:cs="Arial"/>
          <w:szCs w:val="24"/>
        </w:rPr>
      </w:pPr>
    </w:p>
    <w:p w:rsidR="00271D26" w:rsidRPr="00271D26" w:rsidP="00271D26">
      <w:pPr>
        <w:rPr>
          <w:rFonts w:cs="Arial"/>
          <w:szCs w:val="24"/>
        </w:rPr>
      </w:pPr>
      <w:r w:rsidRPr="00271D26">
        <w:rPr>
          <w:rFonts w:cs="Arial"/>
          <w:szCs w:val="24"/>
        </w:rPr>
        <w:t xml:space="preserve">When the school </w:t>
      </w:r>
      <w:r w:rsidRPr="00271D26">
        <w:rPr>
          <w:rFonts w:cs="Arial"/>
          <w:szCs w:val="24"/>
        </w:rPr>
        <w:t>approached the local authority to discuss the future of its sixth form provision, there were only 97 students in the sixth form, with 52 in Year 12 and 45 in Year 13, despite being funded for 145 students, as shown in the table below.  This compares to the</w:t>
      </w:r>
      <w:r w:rsidRPr="00271D26">
        <w:rPr>
          <w:rFonts w:cs="Arial"/>
          <w:szCs w:val="24"/>
        </w:rPr>
        <w:t xml:space="preserve"> sixth form being funded for 245 students only three years ago.  A number of the students currently in Year 12 are on one year courses</w:t>
      </w:r>
      <w:r>
        <w:rPr>
          <w:rFonts w:cs="Arial"/>
          <w:szCs w:val="24"/>
        </w:rPr>
        <w:t>,</w:t>
      </w:r>
      <w:r w:rsidRPr="00271D26">
        <w:rPr>
          <w:rFonts w:cs="Arial"/>
          <w:szCs w:val="24"/>
        </w:rPr>
        <w:t xml:space="preserve"> so there is the potential for the school to only have around 30 students in Year 13 in 2018/19</w:t>
      </w:r>
      <w:r>
        <w:rPr>
          <w:rFonts w:cs="Arial"/>
          <w:szCs w:val="24"/>
        </w:rPr>
        <w:t>,</w:t>
      </w:r>
      <w:r w:rsidRPr="00271D26">
        <w:rPr>
          <w:rFonts w:cs="Arial"/>
          <w:szCs w:val="24"/>
        </w:rPr>
        <w:t xml:space="preserve"> if those on one year cou</w:t>
      </w:r>
      <w:r w:rsidRPr="00271D26">
        <w:rPr>
          <w:rFonts w:cs="Arial"/>
          <w:szCs w:val="24"/>
        </w:rPr>
        <w:t>rses choose not to progress.  However, any current Year 12 students who wish to continue into Year 13 at the school will be able to do so</w:t>
      </w:r>
      <w:r>
        <w:rPr>
          <w:rFonts w:cs="Arial"/>
          <w:szCs w:val="24"/>
        </w:rPr>
        <w:t>,</w:t>
      </w:r>
      <w:r w:rsidRPr="00271D26">
        <w:rPr>
          <w:rFonts w:cs="Arial"/>
          <w:szCs w:val="24"/>
        </w:rPr>
        <w:t xml:space="preserve"> and will be supported by the school throughout the remainder of their programme.</w:t>
      </w:r>
    </w:p>
    <w:p w:rsidR="00271D26" w:rsidRPr="00271D26" w:rsidP="00271D26">
      <w:pPr>
        <w:rPr>
          <w:rFonts w:cs="Arial"/>
          <w:szCs w:val="24"/>
        </w:rPr>
      </w:pPr>
    </w:p>
    <w:p w:rsidR="00271D26" w:rsidRPr="00271D26" w:rsidP="00271D26">
      <w:pPr>
        <w:rPr>
          <w:rFonts w:cs="Arial"/>
          <w:szCs w:val="24"/>
        </w:rPr>
      </w:pPr>
      <w:r w:rsidRPr="00271D26">
        <w:rPr>
          <w:rFonts w:cs="Arial"/>
          <w:szCs w:val="24"/>
        </w:rPr>
        <w:t>The table below shows the student n</w:t>
      </w:r>
      <w:r w:rsidRPr="00271D26">
        <w:rPr>
          <w:rFonts w:cs="Arial"/>
          <w:szCs w:val="24"/>
        </w:rPr>
        <w:t xml:space="preserve">umber and funding allocations the school has received from the Education and Skills Funding Agency (ESFA) in recent years: </w:t>
      </w:r>
    </w:p>
    <w:p w:rsidR="00271D26" w:rsidRPr="00271D26" w:rsidP="00271D26">
      <w:pPr>
        <w:rPr>
          <w:rFonts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216"/>
        <w:gridCol w:w="1418"/>
        <w:gridCol w:w="1236"/>
        <w:gridCol w:w="1418"/>
        <w:gridCol w:w="1236"/>
        <w:gridCol w:w="1236"/>
        <w:gridCol w:w="1236"/>
      </w:tblGrid>
      <w:tr w:rsidTr="005C21FB">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jc w:val="center"/>
        </w:trPr>
        <w:tc>
          <w:tcPr>
            <w:tcW w:w="1288" w:type="dxa"/>
            <w:shd w:val="clear" w:color="auto" w:fill="auto"/>
          </w:tcPr>
          <w:p w:rsidR="00271D26" w:rsidRPr="00271D26" w:rsidP="00271D26">
            <w:pPr>
              <w:rPr>
                <w:rFonts w:cs="Arial"/>
                <w:szCs w:val="24"/>
              </w:rPr>
            </w:pPr>
          </w:p>
        </w:tc>
        <w:tc>
          <w:tcPr>
            <w:tcW w:w="1288" w:type="dxa"/>
            <w:shd w:val="clear" w:color="auto" w:fill="auto"/>
          </w:tcPr>
          <w:p w:rsidR="00271D26" w:rsidRPr="00271D26" w:rsidP="00271D26">
            <w:pPr>
              <w:jc w:val="center"/>
              <w:rPr>
                <w:rFonts w:cs="Arial"/>
                <w:b/>
                <w:szCs w:val="24"/>
              </w:rPr>
            </w:pPr>
            <w:r w:rsidRPr="00271D26">
              <w:rPr>
                <w:rFonts w:cs="Arial"/>
                <w:b/>
                <w:szCs w:val="24"/>
              </w:rPr>
              <w:t>2012/13</w:t>
            </w:r>
          </w:p>
        </w:tc>
        <w:tc>
          <w:tcPr>
            <w:tcW w:w="1288" w:type="dxa"/>
            <w:shd w:val="clear" w:color="auto" w:fill="auto"/>
          </w:tcPr>
          <w:p w:rsidR="00271D26" w:rsidRPr="00271D26" w:rsidP="00271D26">
            <w:pPr>
              <w:jc w:val="center"/>
              <w:rPr>
                <w:rFonts w:cs="Arial"/>
                <w:b/>
                <w:szCs w:val="24"/>
              </w:rPr>
            </w:pPr>
            <w:r w:rsidRPr="00271D26">
              <w:rPr>
                <w:rFonts w:cs="Arial"/>
                <w:b/>
                <w:szCs w:val="24"/>
              </w:rPr>
              <w:t>2013/14</w:t>
            </w:r>
          </w:p>
        </w:tc>
        <w:tc>
          <w:tcPr>
            <w:tcW w:w="1288" w:type="dxa"/>
            <w:shd w:val="clear" w:color="auto" w:fill="auto"/>
          </w:tcPr>
          <w:p w:rsidR="00271D26" w:rsidRPr="00271D26" w:rsidP="00271D26">
            <w:pPr>
              <w:jc w:val="center"/>
              <w:rPr>
                <w:rFonts w:cs="Arial"/>
                <w:b/>
                <w:szCs w:val="24"/>
              </w:rPr>
            </w:pPr>
            <w:r w:rsidRPr="00271D26">
              <w:rPr>
                <w:rFonts w:cs="Arial"/>
                <w:b/>
                <w:szCs w:val="24"/>
              </w:rPr>
              <w:t>2014/15</w:t>
            </w:r>
          </w:p>
        </w:tc>
        <w:tc>
          <w:tcPr>
            <w:tcW w:w="1288" w:type="dxa"/>
            <w:shd w:val="clear" w:color="auto" w:fill="auto"/>
          </w:tcPr>
          <w:p w:rsidR="00271D26" w:rsidRPr="00271D26" w:rsidP="00271D26">
            <w:pPr>
              <w:jc w:val="center"/>
              <w:rPr>
                <w:rFonts w:cs="Arial"/>
                <w:b/>
                <w:szCs w:val="24"/>
              </w:rPr>
            </w:pPr>
            <w:r w:rsidRPr="00271D26">
              <w:rPr>
                <w:rFonts w:cs="Arial"/>
                <w:b/>
                <w:szCs w:val="24"/>
              </w:rPr>
              <w:t>2015/16</w:t>
            </w:r>
          </w:p>
        </w:tc>
        <w:tc>
          <w:tcPr>
            <w:tcW w:w="1288" w:type="dxa"/>
            <w:shd w:val="clear" w:color="auto" w:fill="auto"/>
          </w:tcPr>
          <w:p w:rsidR="00271D26" w:rsidRPr="00271D26" w:rsidP="00271D26">
            <w:pPr>
              <w:jc w:val="center"/>
              <w:rPr>
                <w:rFonts w:cs="Arial"/>
                <w:b/>
                <w:szCs w:val="24"/>
              </w:rPr>
            </w:pPr>
            <w:r w:rsidRPr="00271D26">
              <w:rPr>
                <w:rFonts w:cs="Arial"/>
                <w:b/>
                <w:szCs w:val="24"/>
              </w:rPr>
              <w:t>2016/17</w:t>
            </w:r>
          </w:p>
        </w:tc>
        <w:tc>
          <w:tcPr>
            <w:tcW w:w="1288" w:type="dxa"/>
            <w:shd w:val="clear" w:color="auto" w:fill="auto"/>
          </w:tcPr>
          <w:p w:rsidR="00271D26" w:rsidRPr="00271D26" w:rsidP="00271D26">
            <w:pPr>
              <w:jc w:val="center"/>
              <w:rPr>
                <w:rFonts w:cs="Arial"/>
                <w:b/>
                <w:szCs w:val="24"/>
              </w:rPr>
            </w:pPr>
            <w:r w:rsidRPr="00271D26">
              <w:rPr>
                <w:rFonts w:cs="Arial"/>
                <w:b/>
                <w:szCs w:val="24"/>
              </w:rPr>
              <w:t>2017/18</w:t>
            </w:r>
          </w:p>
        </w:tc>
      </w:tr>
      <w:tr w:rsidTr="005C21FB">
        <w:tblPrEx>
          <w:tblW w:w="0" w:type="auto"/>
          <w:jc w:val="center"/>
          <w:tblLook w:val="04A0"/>
        </w:tblPrEx>
        <w:trPr>
          <w:jc w:val="center"/>
        </w:trPr>
        <w:tc>
          <w:tcPr>
            <w:tcW w:w="1288" w:type="dxa"/>
            <w:shd w:val="clear" w:color="auto" w:fill="auto"/>
          </w:tcPr>
          <w:p w:rsidR="00271D26" w:rsidRPr="00271D26" w:rsidP="00271D26">
            <w:pPr>
              <w:rPr>
                <w:rFonts w:cs="Arial"/>
                <w:szCs w:val="24"/>
              </w:rPr>
            </w:pPr>
            <w:r w:rsidRPr="00271D26">
              <w:rPr>
                <w:rFonts w:cs="Arial"/>
                <w:szCs w:val="24"/>
              </w:rPr>
              <w:t>Student Numbers</w:t>
            </w:r>
          </w:p>
        </w:tc>
        <w:tc>
          <w:tcPr>
            <w:tcW w:w="1288" w:type="dxa"/>
            <w:shd w:val="clear" w:color="auto" w:fill="auto"/>
          </w:tcPr>
          <w:p w:rsidR="00271D26" w:rsidRPr="00271D26" w:rsidP="00271D26">
            <w:pPr>
              <w:jc w:val="center"/>
              <w:rPr>
                <w:rFonts w:cs="Arial"/>
                <w:szCs w:val="24"/>
              </w:rPr>
            </w:pPr>
            <w:r w:rsidRPr="00271D26">
              <w:rPr>
                <w:rFonts w:cs="Arial"/>
                <w:szCs w:val="24"/>
              </w:rPr>
              <w:t>232</w:t>
            </w:r>
          </w:p>
        </w:tc>
        <w:tc>
          <w:tcPr>
            <w:tcW w:w="1288" w:type="dxa"/>
            <w:shd w:val="clear" w:color="auto" w:fill="auto"/>
          </w:tcPr>
          <w:p w:rsidR="00271D26" w:rsidRPr="00271D26" w:rsidP="00271D26">
            <w:pPr>
              <w:jc w:val="center"/>
              <w:rPr>
                <w:rFonts w:cs="Arial"/>
                <w:szCs w:val="24"/>
              </w:rPr>
            </w:pPr>
            <w:r w:rsidRPr="00271D26">
              <w:rPr>
                <w:rFonts w:cs="Arial"/>
                <w:szCs w:val="24"/>
              </w:rPr>
              <w:t>189</w:t>
            </w:r>
          </w:p>
        </w:tc>
        <w:tc>
          <w:tcPr>
            <w:tcW w:w="1288" w:type="dxa"/>
            <w:shd w:val="clear" w:color="auto" w:fill="auto"/>
          </w:tcPr>
          <w:p w:rsidR="00271D26" w:rsidRPr="00271D26" w:rsidP="00271D26">
            <w:pPr>
              <w:jc w:val="center"/>
              <w:rPr>
                <w:rFonts w:cs="Arial"/>
                <w:szCs w:val="24"/>
              </w:rPr>
            </w:pPr>
            <w:r w:rsidRPr="00271D26">
              <w:rPr>
                <w:rFonts w:cs="Arial"/>
                <w:szCs w:val="24"/>
              </w:rPr>
              <w:t>245</w:t>
            </w:r>
          </w:p>
        </w:tc>
        <w:tc>
          <w:tcPr>
            <w:tcW w:w="1288" w:type="dxa"/>
            <w:shd w:val="clear" w:color="auto" w:fill="auto"/>
          </w:tcPr>
          <w:p w:rsidR="00271D26" w:rsidRPr="00271D26" w:rsidP="00271D26">
            <w:pPr>
              <w:jc w:val="center"/>
              <w:rPr>
                <w:rFonts w:cs="Arial"/>
                <w:szCs w:val="24"/>
              </w:rPr>
            </w:pPr>
            <w:r w:rsidRPr="00271D26">
              <w:rPr>
                <w:rFonts w:cs="Arial"/>
                <w:szCs w:val="24"/>
              </w:rPr>
              <w:t>207</w:t>
            </w:r>
          </w:p>
        </w:tc>
        <w:tc>
          <w:tcPr>
            <w:tcW w:w="1288" w:type="dxa"/>
            <w:shd w:val="clear" w:color="auto" w:fill="auto"/>
          </w:tcPr>
          <w:p w:rsidR="00271D26" w:rsidRPr="00271D26" w:rsidP="00271D26">
            <w:pPr>
              <w:jc w:val="center"/>
              <w:rPr>
                <w:rFonts w:cs="Arial"/>
                <w:szCs w:val="24"/>
              </w:rPr>
            </w:pPr>
            <w:r w:rsidRPr="00271D26">
              <w:rPr>
                <w:rFonts w:cs="Arial"/>
                <w:szCs w:val="24"/>
              </w:rPr>
              <w:t>152</w:t>
            </w:r>
          </w:p>
        </w:tc>
        <w:tc>
          <w:tcPr>
            <w:tcW w:w="1288" w:type="dxa"/>
            <w:shd w:val="clear" w:color="auto" w:fill="auto"/>
          </w:tcPr>
          <w:p w:rsidR="00271D26" w:rsidRPr="00271D26" w:rsidP="00271D26">
            <w:pPr>
              <w:jc w:val="center"/>
              <w:rPr>
                <w:rFonts w:cs="Arial"/>
                <w:szCs w:val="24"/>
              </w:rPr>
            </w:pPr>
            <w:r w:rsidRPr="00271D26">
              <w:rPr>
                <w:rFonts w:cs="Arial"/>
                <w:szCs w:val="24"/>
              </w:rPr>
              <w:t>145</w:t>
            </w:r>
          </w:p>
        </w:tc>
      </w:tr>
      <w:tr w:rsidTr="005C21FB">
        <w:tblPrEx>
          <w:tblW w:w="0" w:type="auto"/>
          <w:jc w:val="center"/>
          <w:tblLook w:val="04A0"/>
        </w:tblPrEx>
        <w:trPr>
          <w:trHeight w:val="549"/>
          <w:jc w:val="center"/>
        </w:trPr>
        <w:tc>
          <w:tcPr>
            <w:tcW w:w="1288" w:type="dxa"/>
            <w:shd w:val="clear" w:color="auto" w:fill="auto"/>
          </w:tcPr>
          <w:p w:rsidR="00271D26" w:rsidRPr="00271D26" w:rsidP="00271D26">
            <w:pPr>
              <w:rPr>
                <w:rFonts w:cs="Arial"/>
                <w:szCs w:val="24"/>
              </w:rPr>
            </w:pPr>
            <w:r w:rsidRPr="00271D26">
              <w:rPr>
                <w:rFonts w:cs="Arial"/>
                <w:szCs w:val="24"/>
              </w:rPr>
              <w:t>Funding</w:t>
            </w:r>
          </w:p>
        </w:tc>
        <w:tc>
          <w:tcPr>
            <w:tcW w:w="1288" w:type="dxa"/>
            <w:shd w:val="clear" w:color="auto" w:fill="auto"/>
          </w:tcPr>
          <w:p w:rsidR="00271D26" w:rsidRPr="00271D26" w:rsidP="00271D26">
            <w:pPr>
              <w:jc w:val="center"/>
              <w:rPr>
                <w:rFonts w:cs="Arial"/>
                <w:szCs w:val="24"/>
              </w:rPr>
            </w:pPr>
            <w:r w:rsidRPr="00271D26">
              <w:rPr>
                <w:rFonts w:cs="Arial"/>
                <w:szCs w:val="24"/>
              </w:rPr>
              <w:t>£1,044,655</w:t>
            </w:r>
          </w:p>
        </w:tc>
        <w:tc>
          <w:tcPr>
            <w:tcW w:w="1288" w:type="dxa"/>
            <w:shd w:val="clear" w:color="auto" w:fill="auto"/>
          </w:tcPr>
          <w:p w:rsidR="00271D26" w:rsidRPr="00271D26" w:rsidP="00271D26">
            <w:pPr>
              <w:jc w:val="center"/>
              <w:rPr>
                <w:rFonts w:cs="Arial"/>
                <w:szCs w:val="24"/>
              </w:rPr>
            </w:pPr>
            <w:r w:rsidRPr="00271D26">
              <w:rPr>
                <w:rFonts w:cs="Arial"/>
                <w:szCs w:val="24"/>
              </w:rPr>
              <w:t>£866,471</w:t>
            </w:r>
          </w:p>
        </w:tc>
        <w:tc>
          <w:tcPr>
            <w:tcW w:w="1288" w:type="dxa"/>
            <w:shd w:val="clear" w:color="auto" w:fill="auto"/>
          </w:tcPr>
          <w:p w:rsidR="00271D26" w:rsidRPr="00271D26" w:rsidP="00271D26">
            <w:pPr>
              <w:jc w:val="center"/>
              <w:rPr>
                <w:rFonts w:cs="Arial"/>
                <w:szCs w:val="24"/>
              </w:rPr>
            </w:pPr>
            <w:r w:rsidRPr="00271D26">
              <w:rPr>
                <w:rFonts w:cs="Arial"/>
                <w:szCs w:val="24"/>
              </w:rPr>
              <w:t>£1,032,776</w:t>
            </w:r>
          </w:p>
        </w:tc>
        <w:tc>
          <w:tcPr>
            <w:tcW w:w="1288" w:type="dxa"/>
            <w:shd w:val="clear" w:color="auto" w:fill="auto"/>
          </w:tcPr>
          <w:p w:rsidR="00271D26" w:rsidRPr="00271D26" w:rsidP="00271D26">
            <w:pPr>
              <w:jc w:val="center"/>
              <w:rPr>
                <w:rFonts w:cs="Arial"/>
                <w:szCs w:val="24"/>
              </w:rPr>
            </w:pPr>
            <w:r w:rsidRPr="00271D26">
              <w:rPr>
                <w:rFonts w:cs="Arial"/>
                <w:szCs w:val="24"/>
              </w:rPr>
              <w:t>£912,155</w:t>
            </w:r>
          </w:p>
        </w:tc>
        <w:tc>
          <w:tcPr>
            <w:tcW w:w="1288" w:type="dxa"/>
            <w:shd w:val="clear" w:color="auto" w:fill="auto"/>
          </w:tcPr>
          <w:p w:rsidR="00271D26" w:rsidRPr="00271D26" w:rsidP="00271D26">
            <w:pPr>
              <w:jc w:val="center"/>
              <w:rPr>
                <w:rFonts w:cs="Arial"/>
                <w:szCs w:val="24"/>
              </w:rPr>
            </w:pPr>
            <w:r w:rsidRPr="00271D26">
              <w:rPr>
                <w:rFonts w:cs="Arial"/>
                <w:szCs w:val="24"/>
              </w:rPr>
              <w:t>£684,912</w:t>
            </w:r>
          </w:p>
        </w:tc>
        <w:tc>
          <w:tcPr>
            <w:tcW w:w="1288" w:type="dxa"/>
            <w:shd w:val="clear" w:color="auto" w:fill="auto"/>
          </w:tcPr>
          <w:p w:rsidR="00271D26" w:rsidRPr="00271D26" w:rsidP="00271D26">
            <w:pPr>
              <w:jc w:val="center"/>
              <w:rPr>
                <w:rFonts w:cs="Arial"/>
                <w:szCs w:val="24"/>
              </w:rPr>
            </w:pPr>
            <w:r w:rsidRPr="00271D26">
              <w:rPr>
                <w:rFonts w:cs="Arial"/>
                <w:szCs w:val="24"/>
              </w:rPr>
              <w:t>£622,735</w:t>
            </w:r>
          </w:p>
        </w:tc>
      </w:tr>
    </w:tbl>
    <w:p w:rsidR="00271D26" w:rsidRPr="00271D26" w:rsidP="00271D26">
      <w:pPr>
        <w:rPr>
          <w:rFonts w:cs="Arial"/>
          <w:szCs w:val="24"/>
        </w:rPr>
      </w:pPr>
    </w:p>
    <w:p w:rsidR="00271D26" w:rsidRPr="00271D26" w:rsidP="00271D26">
      <w:pPr>
        <w:rPr>
          <w:rFonts w:cs="Arial"/>
          <w:szCs w:val="24"/>
        </w:rPr>
      </w:pPr>
      <w:r w:rsidRPr="00271D26">
        <w:rPr>
          <w:rFonts w:cs="Arial"/>
          <w:szCs w:val="24"/>
        </w:rPr>
        <w:t>The average ESFA student number allocation for the school sixth forms and academies in Lancashire was 236 in 2014/15, 225 in 2015/16, 217 in 2016/17 and 209 in 2017/18.  This shows that the school's student numbers have been be</w:t>
      </w:r>
      <w:r w:rsidRPr="00271D26">
        <w:rPr>
          <w:rFonts w:cs="Arial"/>
          <w:szCs w:val="24"/>
        </w:rPr>
        <w:t>low average in the last three years and, with 97 students on roll at present, are significantly below the average level in the current year.</w:t>
      </w:r>
    </w:p>
    <w:p w:rsidR="00271D26" w:rsidRPr="00271D26" w:rsidP="00271D26">
      <w:pPr>
        <w:rPr>
          <w:rFonts w:cs="Arial"/>
          <w:szCs w:val="24"/>
        </w:rPr>
      </w:pPr>
    </w:p>
    <w:p w:rsidR="00271D26" w:rsidRPr="00271D26" w:rsidP="00271D26">
      <w:pPr>
        <w:rPr>
          <w:rFonts w:cs="Arial"/>
          <w:szCs w:val="24"/>
        </w:rPr>
      </w:pPr>
      <w:r w:rsidRPr="00271D26">
        <w:rPr>
          <w:rFonts w:cs="Arial"/>
          <w:szCs w:val="24"/>
        </w:rPr>
        <w:t>The school has undertaken a lot of work to promote its sixth form provision by working with local 11-16 schools</w:t>
      </w:r>
      <w:r>
        <w:rPr>
          <w:rFonts w:cs="Arial"/>
          <w:szCs w:val="24"/>
        </w:rPr>
        <w:t>,</w:t>
      </w:r>
      <w:r w:rsidRPr="00271D26">
        <w:rPr>
          <w:rFonts w:cs="Arial"/>
          <w:szCs w:val="24"/>
        </w:rPr>
        <w:t xml:space="preserve"> a</w:t>
      </w:r>
      <w:r w:rsidRPr="00271D26">
        <w:rPr>
          <w:rFonts w:cs="Arial"/>
          <w:szCs w:val="24"/>
        </w:rPr>
        <w:t>nd designing its curriculum offer to appeal to more young people but, unfortunately, this has not had the desired impact.  Although early in the academic year, the school has not had any applications for the 2018/19 academic year to date.</w:t>
      </w:r>
    </w:p>
    <w:p w:rsidR="00271D26" w:rsidRPr="00271D26" w:rsidP="00271D26">
      <w:pPr>
        <w:rPr>
          <w:rFonts w:cs="Arial"/>
          <w:szCs w:val="24"/>
        </w:rPr>
      </w:pPr>
    </w:p>
    <w:p w:rsidR="00271D26" w:rsidRPr="00271D26" w:rsidP="00271D26">
      <w:pPr>
        <w:rPr>
          <w:rFonts w:cs="Arial"/>
          <w:szCs w:val="24"/>
        </w:rPr>
      </w:pPr>
      <w:r w:rsidRPr="00271D26">
        <w:rPr>
          <w:rFonts w:cs="Arial"/>
          <w:szCs w:val="24"/>
        </w:rPr>
        <w:t xml:space="preserve">Of the school's </w:t>
      </w:r>
      <w:r w:rsidRPr="00271D26">
        <w:rPr>
          <w:rFonts w:cs="Arial"/>
          <w:szCs w:val="24"/>
        </w:rPr>
        <w:t>2016 school leavers, 33.5% chose to progress into the sixth form.  The significant majority, 64.2%, chose to progress to a further education or sixth form college.  With only 52 students currently in Year 12, it can be seen that the proportion of young peo</w:t>
      </w:r>
      <w:r w:rsidRPr="00271D26">
        <w:rPr>
          <w:rFonts w:cs="Arial"/>
          <w:szCs w:val="24"/>
        </w:rPr>
        <w:t>ple choosing to continue into the school's sixth form is reducing.  The main colleges being accessed were Cardinal Newman College, Preston's College and Blackpool and the Fylde College, indicating that young people are willing to travel out of the district</w:t>
      </w:r>
      <w:r w:rsidRPr="00271D26">
        <w:rPr>
          <w:rFonts w:cs="Arial"/>
          <w:szCs w:val="24"/>
        </w:rPr>
        <w:t xml:space="preserve"> to access post 16 provision.</w:t>
      </w:r>
    </w:p>
    <w:p w:rsidR="00271D26" w:rsidP="00271D26">
      <w:pPr>
        <w:rPr>
          <w:rFonts w:cs="Arial"/>
          <w:szCs w:val="24"/>
        </w:rPr>
      </w:pPr>
    </w:p>
    <w:p w:rsidR="00364241" w:rsidP="00271D26">
      <w:pPr>
        <w:rPr>
          <w:rFonts w:cs="Arial"/>
          <w:b/>
          <w:szCs w:val="24"/>
        </w:rPr>
      </w:pPr>
    </w:p>
    <w:p w:rsidR="00364241" w:rsidP="00271D26">
      <w:pPr>
        <w:rPr>
          <w:rFonts w:cs="Arial"/>
          <w:b/>
          <w:szCs w:val="24"/>
        </w:rPr>
      </w:pPr>
    </w:p>
    <w:p w:rsidR="00364241" w:rsidP="00271D26">
      <w:pPr>
        <w:rPr>
          <w:rFonts w:cs="Arial"/>
          <w:b/>
          <w:szCs w:val="24"/>
        </w:rPr>
      </w:pPr>
    </w:p>
    <w:p w:rsidR="006515E1" w:rsidRPr="006515E1" w:rsidP="00271D26">
      <w:pPr>
        <w:rPr>
          <w:rFonts w:cs="Arial"/>
          <w:b/>
          <w:szCs w:val="24"/>
        </w:rPr>
      </w:pPr>
      <w:r>
        <w:rPr>
          <w:rFonts w:cs="Arial"/>
          <w:b/>
          <w:szCs w:val="24"/>
        </w:rPr>
        <w:t>Department for Education Guidance</w:t>
      </w:r>
    </w:p>
    <w:p w:rsidR="006515E1" w:rsidRPr="00271D26" w:rsidP="00271D26">
      <w:pPr>
        <w:rPr>
          <w:rFonts w:cs="Arial"/>
          <w:szCs w:val="24"/>
        </w:rPr>
      </w:pPr>
    </w:p>
    <w:p w:rsidR="00271D26" w:rsidRPr="00271D26" w:rsidP="00271D26">
      <w:pPr>
        <w:rPr>
          <w:rFonts w:cs="Arial"/>
          <w:szCs w:val="24"/>
        </w:rPr>
      </w:pPr>
      <w:r w:rsidRPr="00271D26">
        <w:rPr>
          <w:rFonts w:cs="Arial"/>
          <w:szCs w:val="24"/>
        </w:rPr>
        <w:t>The D</w:t>
      </w:r>
      <w:r>
        <w:rPr>
          <w:rFonts w:cs="Arial"/>
          <w:szCs w:val="24"/>
        </w:rPr>
        <w:t xml:space="preserve">epartment </w:t>
      </w:r>
      <w:r w:rsidRPr="00271D26">
        <w:rPr>
          <w:rFonts w:cs="Arial"/>
          <w:szCs w:val="24"/>
        </w:rPr>
        <w:t>f</w:t>
      </w:r>
      <w:r>
        <w:rPr>
          <w:rFonts w:cs="Arial"/>
          <w:szCs w:val="24"/>
        </w:rPr>
        <w:t xml:space="preserve">or </w:t>
      </w:r>
      <w:r w:rsidRPr="00271D26">
        <w:rPr>
          <w:rFonts w:cs="Arial"/>
          <w:szCs w:val="24"/>
        </w:rPr>
        <w:t>E</w:t>
      </w:r>
      <w:r>
        <w:rPr>
          <w:rFonts w:cs="Arial"/>
          <w:szCs w:val="24"/>
        </w:rPr>
        <w:t>ducation</w:t>
      </w:r>
      <w:r w:rsidRPr="00271D26">
        <w:rPr>
          <w:rFonts w:cs="Arial"/>
          <w:szCs w:val="24"/>
        </w:rPr>
        <w:t xml:space="preserve">'s </w:t>
      </w:r>
      <w:r>
        <w:rPr>
          <w:rFonts w:cs="Arial"/>
          <w:szCs w:val="24"/>
        </w:rPr>
        <w:t xml:space="preserve">(DfE) </w:t>
      </w:r>
      <w:r w:rsidRPr="00271D26">
        <w:rPr>
          <w:rFonts w:cs="Arial"/>
          <w:szCs w:val="24"/>
        </w:rPr>
        <w:t xml:space="preserve">statutory guidance, Making 'Prescribed Alterations' to Maintained Schools, published in April 2016, sets out the following guidelines which should be considered for proposals to open new sixth form provision:  </w:t>
      </w:r>
    </w:p>
    <w:p w:rsidR="00271D26" w:rsidRPr="00271D26" w:rsidP="00271D26">
      <w:pPr>
        <w:rPr>
          <w:rFonts w:cs="Arial"/>
          <w:szCs w:val="24"/>
        </w:rPr>
      </w:pP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School to be rated as Good or Outstanding by</w:t>
      </w:r>
      <w:r w:rsidRPr="00271D26">
        <w:rPr>
          <w:rFonts w:cs="Arial"/>
          <w:szCs w:val="24"/>
        </w:rPr>
        <w:t xml:space="preserve"> OfSTED.</w:t>
      </w: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The quality of pre-16 education must be good or outstanding.</w:t>
      </w: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The proposed sixth form will provide places for a minimum of 200 students.</w:t>
      </w: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The proposed sixth form will, either directly or through partnership, offer a minimum of 15 A level subjects.</w:t>
      </w: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T</w:t>
      </w:r>
      <w:r w:rsidRPr="00271D26">
        <w:rPr>
          <w:rFonts w:cs="Arial"/>
          <w:szCs w:val="24"/>
        </w:rPr>
        <w:t>here is a clear demand for the new sixth form (including evidence of a shortage of post 16 places and a consideration of the quality of L3 provision in the area).</w:t>
      </w:r>
    </w:p>
    <w:p w:rsidR="00271D26" w:rsidRPr="00271D26" w:rsidP="00271D26">
      <w:pPr>
        <w:pStyle w:val="ListParagraph"/>
        <w:numPr>
          <w:ilvl w:val="0"/>
          <w:numId w:val="1"/>
        </w:numPr>
        <w:autoSpaceDE w:val="0"/>
        <w:autoSpaceDN w:val="0"/>
        <w:adjustRightInd w:val="0"/>
        <w:rPr>
          <w:rFonts w:cs="Arial"/>
          <w:szCs w:val="24"/>
        </w:rPr>
      </w:pPr>
      <w:r w:rsidRPr="00271D26">
        <w:rPr>
          <w:rFonts w:cs="Arial"/>
          <w:szCs w:val="24"/>
        </w:rPr>
        <w:t>The proposed sixth form is financially viable (there is evidence of financial resilience shou</w:t>
      </w:r>
      <w:r w:rsidRPr="00271D26">
        <w:rPr>
          <w:rFonts w:cs="Arial"/>
          <w:szCs w:val="24"/>
        </w:rPr>
        <w:t>ld student numbers fall and the proposal will not impact negatively on 11-16 education or cross-subsidisation of funding).</w:t>
      </w:r>
    </w:p>
    <w:p w:rsidR="00271D26" w:rsidRPr="00271D26" w:rsidP="00271D26">
      <w:pPr>
        <w:rPr>
          <w:rFonts w:cs="Arial"/>
          <w:szCs w:val="24"/>
        </w:rPr>
      </w:pPr>
    </w:p>
    <w:p w:rsidR="00271D26" w:rsidRPr="00271D26" w:rsidP="00271D26">
      <w:pPr>
        <w:rPr>
          <w:rFonts w:cs="Arial"/>
          <w:szCs w:val="24"/>
        </w:rPr>
      </w:pPr>
      <w:r w:rsidRPr="00271D26">
        <w:rPr>
          <w:rFonts w:cs="Arial"/>
          <w:szCs w:val="24"/>
        </w:rPr>
        <w:t>As can be seen from the information provided, the school would not meet a number of the current criteria for adding a sixth form, as</w:t>
      </w:r>
      <w:r w:rsidRPr="00271D26">
        <w:rPr>
          <w:rFonts w:cs="Arial"/>
          <w:szCs w:val="24"/>
        </w:rPr>
        <w:t xml:space="preserve"> the DfE has strengthened the requirements.  The school's current provision is significantly different from these requirements in the following areas:</w:t>
      </w:r>
    </w:p>
    <w:p w:rsidR="00271D26" w:rsidRPr="00271D26" w:rsidP="00271D26">
      <w:pPr>
        <w:rPr>
          <w:rFonts w:cs="Arial"/>
          <w:szCs w:val="24"/>
        </w:rPr>
      </w:pPr>
    </w:p>
    <w:p w:rsidR="00271D26" w:rsidRPr="00271D26" w:rsidP="00271D26">
      <w:pPr>
        <w:pStyle w:val="ListParagraph"/>
        <w:numPr>
          <w:ilvl w:val="0"/>
          <w:numId w:val="2"/>
        </w:numPr>
        <w:ind w:left="709"/>
        <w:rPr>
          <w:rFonts w:cs="Arial"/>
          <w:szCs w:val="24"/>
        </w:rPr>
      </w:pPr>
      <w:r w:rsidRPr="00271D26">
        <w:rPr>
          <w:rFonts w:cs="Arial"/>
          <w:szCs w:val="24"/>
        </w:rPr>
        <w:t>The minimum number of students – the minimum required under the DfE guidelines is 200 places and the sch</w:t>
      </w:r>
      <w:r w:rsidRPr="00271D26">
        <w:rPr>
          <w:rFonts w:cs="Arial"/>
          <w:szCs w:val="24"/>
        </w:rPr>
        <w:t>ool currently has 97 students.</w:t>
      </w:r>
    </w:p>
    <w:p w:rsidR="00271D26" w:rsidRPr="00271D26" w:rsidP="00271D26">
      <w:pPr>
        <w:pStyle w:val="ListParagraph"/>
        <w:numPr>
          <w:ilvl w:val="0"/>
          <w:numId w:val="2"/>
        </w:numPr>
        <w:ind w:left="709"/>
        <w:rPr>
          <w:rFonts w:cs="Arial"/>
          <w:szCs w:val="24"/>
        </w:rPr>
      </w:pPr>
      <w:r w:rsidRPr="00271D26">
        <w:rPr>
          <w:rFonts w:cs="Arial"/>
          <w:szCs w:val="24"/>
        </w:rPr>
        <w:t>The need for a clear demand for the provision – the information in this report shows that there is a reducing interest from students in progressing to the school's sixth form and that the provision on offer is, in the main, a</w:t>
      </w:r>
      <w:r w:rsidRPr="00271D26">
        <w:rPr>
          <w:rFonts w:cs="Arial"/>
          <w:szCs w:val="24"/>
        </w:rPr>
        <w:t>vailable at post 16 providers in neighbouring areas.</w:t>
      </w:r>
    </w:p>
    <w:p w:rsidR="00271D26" w:rsidRPr="00271D26" w:rsidP="00271D26">
      <w:pPr>
        <w:numPr>
          <w:ilvl w:val="0"/>
          <w:numId w:val="3"/>
        </w:numPr>
        <w:ind w:left="709"/>
        <w:rPr>
          <w:rFonts w:cs="Arial"/>
          <w:szCs w:val="24"/>
        </w:rPr>
      </w:pPr>
      <w:r w:rsidRPr="00271D26">
        <w:rPr>
          <w:rFonts w:cs="Arial"/>
          <w:szCs w:val="24"/>
        </w:rPr>
        <w:t xml:space="preserve">For the sixth form to be financially viable – there is a concern that running courses for a small number of students is not financially viable, with the costs exceeding the income received from the ESFA </w:t>
      </w:r>
      <w:r w:rsidRPr="00271D26">
        <w:rPr>
          <w:rFonts w:cs="Arial"/>
          <w:szCs w:val="24"/>
        </w:rPr>
        <w:t>for the sixth form provision.</w:t>
      </w:r>
    </w:p>
    <w:p w:rsidR="00271D26" w:rsidRPr="00271D26" w:rsidP="00271D26">
      <w:pPr>
        <w:rPr>
          <w:rFonts w:cs="Arial"/>
          <w:szCs w:val="24"/>
        </w:rPr>
      </w:pPr>
    </w:p>
    <w:p w:rsidR="00271D26" w:rsidRPr="00271D26" w:rsidP="00271D26">
      <w:pPr>
        <w:rPr>
          <w:rFonts w:cs="Arial"/>
          <w:b/>
          <w:szCs w:val="24"/>
        </w:rPr>
      </w:pPr>
      <w:r>
        <w:rPr>
          <w:rFonts w:cs="Arial"/>
          <w:b/>
          <w:szCs w:val="24"/>
        </w:rPr>
        <w:t>Education Standards and Diversity of Provision</w:t>
      </w:r>
    </w:p>
    <w:p w:rsidR="00271D26" w:rsidRPr="00271D26" w:rsidP="00271D26">
      <w:pPr>
        <w:rPr>
          <w:rFonts w:cs="Arial"/>
          <w:szCs w:val="24"/>
        </w:rPr>
      </w:pPr>
    </w:p>
    <w:p w:rsidR="00271D26" w:rsidRPr="00271D26" w:rsidP="00271D26">
      <w:pPr>
        <w:rPr>
          <w:rFonts w:cs="Arial"/>
          <w:szCs w:val="24"/>
        </w:rPr>
      </w:pPr>
      <w:r w:rsidRPr="00271D26">
        <w:rPr>
          <w:rFonts w:cs="Arial"/>
          <w:szCs w:val="24"/>
        </w:rPr>
        <w:t>The school was last inspected by OfSTED in October 2012</w:t>
      </w:r>
      <w:r>
        <w:rPr>
          <w:rFonts w:cs="Arial"/>
          <w:szCs w:val="24"/>
        </w:rPr>
        <w:t>,</w:t>
      </w:r>
      <w:r w:rsidRPr="00271D26">
        <w:rPr>
          <w:rFonts w:cs="Arial"/>
          <w:szCs w:val="24"/>
        </w:rPr>
        <w:t xml:space="preserve"> and the outcome for Overall Effectiveness was 'Good'.  Whilst the inspection report acknowledged that the sixth form was good and that students were achieving well, it went on to say that the academic and vocational courses available at the time did not a</w:t>
      </w:r>
      <w:r w:rsidRPr="00271D26">
        <w:rPr>
          <w:rFonts w:cs="Arial"/>
          <w:szCs w:val="24"/>
        </w:rPr>
        <w:t>lways meet students' needs closely enough.  The report said that the curriculum in the sixth form was in need of further development.</w:t>
      </w:r>
    </w:p>
    <w:p w:rsidR="00271D26" w:rsidRPr="00271D26" w:rsidP="00271D26">
      <w:pPr>
        <w:rPr>
          <w:rFonts w:cs="Arial"/>
          <w:szCs w:val="24"/>
        </w:rPr>
      </w:pPr>
    </w:p>
    <w:p w:rsidR="00271D26" w:rsidRPr="00271D26" w:rsidP="00271D26">
      <w:pPr>
        <w:rPr>
          <w:rFonts w:cs="Arial"/>
          <w:szCs w:val="24"/>
        </w:rPr>
      </w:pPr>
      <w:r w:rsidRPr="00271D26">
        <w:rPr>
          <w:rFonts w:cs="Arial"/>
          <w:szCs w:val="24"/>
        </w:rPr>
        <w:t>Using the most recent information from the DfE's 2016 Performance Tables, there are some issues with the quality of provi</w:t>
      </w:r>
      <w:r w:rsidRPr="00271D26">
        <w:rPr>
          <w:rFonts w:cs="Arial"/>
          <w:szCs w:val="24"/>
        </w:rPr>
        <w:t>sion being delivered through the sixth form.  In terms of the both A level and Academic qualifications, the school is below average in terms of the average points score (APS) per entry</w:t>
      </w:r>
      <w:r>
        <w:rPr>
          <w:rFonts w:cs="Arial"/>
          <w:szCs w:val="24"/>
        </w:rPr>
        <w:t>,</w:t>
      </w:r>
      <w:r w:rsidRPr="00271D26">
        <w:rPr>
          <w:rFonts w:cs="Arial"/>
          <w:szCs w:val="24"/>
        </w:rPr>
        <w:t xml:space="preserve"> and is below average for the Progress headline measure.  This means th</w:t>
      </w:r>
      <w:r w:rsidRPr="00271D26">
        <w:rPr>
          <w:rFonts w:cs="Arial"/>
          <w:szCs w:val="24"/>
        </w:rPr>
        <w:t xml:space="preserve">at the students accessing this provision at the school </w:t>
      </w:r>
      <w:r w:rsidRPr="00271D26">
        <w:rPr>
          <w:rFonts w:cs="Arial"/>
          <w:szCs w:val="24"/>
          <w:lang w:val="en"/>
        </w:rPr>
        <w:t xml:space="preserve">made less progress, on average, than students across England who </w:t>
      </w:r>
      <w:r w:rsidRPr="00271D26">
        <w:rPr>
          <w:rFonts w:cs="Arial"/>
          <w:szCs w:val="24"/>
          <w:lang w:val="en"/>
        </w:rPr>
        <w:t xml:space="preserve">got similar results at the end of key stage 4.  For Applied General qualifications, </w:t>
      </w:r>
      <w:r w:rsidRPr="00271D26">
        <w:rPr>
          <w:rFonts w:cs="Arial"/>
          <w:szCs w:val="24"/>
        </w:rPr>
        <w:t>both the APS and the Progress measure are average.</w:t>
      </w:r>
    </w:p>
    <w:p w:rsidR="00271D26" w:rsidRPr="00271D26" w:rsidP="00271D26">
      <w:pPr>
        <w:rPr>
          <w:rFonts w:cs="Arial"/>
          <w:szCs w:val="24"/>
        </w:rPr>
      </w:pPr>
    </w:p>
    <w:p w:rsidR="00271D26" w:rsidRPr="00271D26" w:rsidP="00271D26">
      <w:pPr>
        <w:rPr>
          <w:rFonts w:cs="Arial"/>
          <w:szCs w:val="24"/>
        </w:rPr>
      </w:pPr>
      <w:r w:rsidRPr="00271D26">
        <w:rPr>
          <w:rFonts w:cs="Arial"/>
          <w:szCs w:val="24"/>
        </w:rPr>
        <w:t xml:space="preserve">The curriculum offer for the sixth form in the 2017/18 academic year consists of 14 A levels and five Diplomas.  The school has confirmed that, based on the group sizes at the start of the 2017/18 academic year, only four courses across Year 12 and 13 are </w:t>
      </w:r>
      <w:r w:rsidRPr="00271D26">
        <w:rPr>
          <w:rFonts w:cs="Arial"/>
          <w:szCs w:val="24"/>
        </w:rPr>
        <w:t>financially viable.  It is expected that the curriculum offer in 2018/19 would be reduced due to lower numbers and fewer courses being financially viable.</w:t>
      </w:r>
    </w:p>
    <w:p w:rsidR="00271D26" w:rsidRPr="00271D26" w:rsidP="00271D26">
      <w:pPr>
        <w:rPr>
          <w:rFonts w:cs="Arial"/>
          <w:szCs w:val="24"/>
        </w:rPr>
      </w:pPr>
    </w:p>
    <w:p w:rsidR="00271D26" w:rsidRPr="00271D26" w:rsidP="00271D26">
      <w:pPr>
        <w:rPr>
          <w:rFonts w:cs="Arial"/>
          <w:szCs w:val="24"/>
        </w:rPr>
      </w:pPr>
      <w:r w:rsidRPr="00271D26">
        <w:rPr>
          <w:rFonts w:cs="Arial"/>
          <w:szCs w:val="24"/>
        </w:rPr>
        <w:t xml:space="preserve">Of the courses being offered by the school, the significant majority are available at alternative providers within the neighbouring areas.  For those courses where there is not a direct match at another provider, comparable alternatives are offered within </w:t>
      </w:r>
      <w:r w:rsidRPr="00271D26">
        <w:rPr>
          <w:rFonts w:cs="Arial"/>
          <w:szCs w:val="24"/>
        </w:rPr>
        <w:t xml:space="preserve">the same curriculum area.  </w:t>
      </w:r>
    </w:p>
    <w:p w:rsidR="00271D26" w:rsidRPr="00271D26" w:rsidP="00271D26">
      <w:pPr>
        <w:rPr>
          <w:rFonts w:cs="Arial"/>
          <w:szCs w:val="24"/>
        </w:rPr>
      </w:pPr>
    </w:p>
    <w:p w:rsidR="00271D26" w:rsidRPr="00271D26" w:rsidP="00271D26">
      <w:pPr>
        <w:rPr>
          <w:rFonts w:cs="Arial"/>
          <w:szCs w:val="24"/>
        </w:rPr>
      </w:pPr>
      <w:r w:rsidRPr="00271D26">
        <w:rPr>
          <w:rFonts w:cs="Arial"/>
          <w:szCs w:val="24"/>
        </w:rPr>
        <w:t>The alternative providers within the neighbouring areas are as follows: Cardinal Newman College, Preston's College, Blackpool and the Fylde College, Blackpool Sixth Form College and Myerscough College.  These providers are betw</w:t>
      </w:r>
      <w:r w:rsidRPr="00271D26">
        <w:rPr>
          <w:rFonts w:cs="Arial"/>
          <w:szCs w:val="24"/>
        </w:rPr>
        <w:t xml:space="preserve">een nine and 11 miles from the school.  With regard to OfSTED ratings, three are 'Outstanding', one is 'Good' and one is 'Requires Improvement'.  </w:t>
      </w:r>
    </w:p>
    <w:p w:rsidR="00271D26" w:rsidRPr="00271D26" w:rsidP="00271D26">
      <w:pPr>
        <w:rPr>
          <w:rFonts w:cs="Arial"/>
          <w:b/>
          <w:szCs w:val="24"/>
        </w:rPr>
      </w:pPr>
    </w:p>
    <w:p w:rsidR="00271D26" w:rsidRPr="00271D26" w:rsidP="00271D26">
      <w:pPr>
        <w:pStyle w:val="N2"/>
        <w:numPr>
          <w:ilvl w:val="0"/>
          <w:numId w:val="0"/>
        </w:numPr>
        <w:spacing w:before="0" w:line="240" w:lineRule="auto"/>
        <w:jc w:val="left"/>
        <w:rPr>
          <w:rFonts w:ascii="Arial" w:hAnsi="Arial" w:cs="Arial"/>
          <w:sz w:val="24"/>
          <w:szCs w:val="24"/>
        </w:rPr>
      </w:pPr>
      <w:r w:rsidRPr="00271D26">
        <w:rPr>
          <w:rFonts w:ascii="Arial" w:hAnsi="Arial" w:cs="Arial"/>
          <w:sz w:val="24"/>
          <w:szCs w:val="24"/>
          <w:lang w:eastAsia="en-GB"/>
        </w:rPr>
        <w:t>From reviewing the data of where the students who attended the school's sixth form in 2015/16 were from, the</w:t>
      </w:r>
      <w:r w:rsidRPr="00271D26">
        <w:rPr>
          <w:rFonts w:ascii="Arial" w:hAnsi="Arial" w:cs="Arial"/>
          <w:sz w:val="24"/>
          <w:szCs w:val="24"/>
          <w:lang w:eastAsia="en-GB"/>
        </w:rPr>
        <w:t xml:space="preserve"> majority were from the following wards in Fylde: Warton-with-Westby, Freckleton East, Kirkham North, Kirkham South and Medlar-with-Wesham.  </w:t>
      </w:r>
      <w:r w:rsidRPr="00271D26">
        <w:rPr>
          <w:rFonts w:ascii="Arial" w:hAnsi="Arial" w:cs="Arial"/>
          <w:sz w:val="24"/>
          <w:szCs w:val="24"/>
        </w:rPr>
        <w:t>Young people from these wards not attending the sixth form at the school accessed post 16 provision at a range of p</w:t>
      </w:r>
      <w:r w:rsidRPr="00271D26">
        <w:rPr>
          <w:rFonts w:ascii="Arial" w:hAnsi="Arial" w:cs="Arial"/>
          <w:sz w:val="24"/>
          <w:szCs w:val="24"/>
        </w:rPr>
        <w:t>roviders, consisting of one school sixth form, 10 colleges and three training providers.  Of the participants not accessing the school's sixth form, almost 60% accessed provision at three colleges: Cardinal Newman College, Preston's College and Blackpool a</w:t>
      </w:r>
      <w:r w:rsidRPr="00271D26">
        <w:rPr>
          <w:rFonts w:ascii="Arial" w:hAnsi="Arial" w:cs="Arial"/>
          <w:sz w:val="24"/>
          <w:szCs w:val="24"/>
        </w:rPr>
        <w:t>nd the Fylde College.  As can be seen from the paragraph above, these are within reasonable travelling distance from the school so young people will be able to access alternative post 16 provision.</w:t>
      </w:r>
    </w:p>
    <w:p w:rsidR="00271D26" w:rsidP="00271D26">
      <w:pPr>
        <w:rPr>
          <w:rFonts w:cs="Arial"/>
          <w:szCs w:val="24"/>
        </w:rPr>
      </w:pPr>
    </w:p>
    <w:p w:rsidR="00271D26" w:rsidRPr="00271D26" w:rsidP="00271D26">
      <w:pPr>
        <w:rPr>
          <w:rFonts w:cs="Arial"/>
          <w:b/>
          <w:szCs w:val="24"/>
        </w:rPr>
      </w:pPr>
      <w:r>
        <w:rPr>
          <w:rFonts w:cs="Arial"/>
          <w:b/>
          <w:szCs w:val="24"/>
        </w:rPr>
        <w:t>Future use of accommodation</w:t>
      </w:r>
    </w:p>
    <w:p w:rsidR="00271D26" w:rsidRPr="00271D26" w:rsidP="00271D26">
      <w:pPr>
        <w:rPr>
          <w:rFonts w:cs="Arial"/>
          <w:szCs w:val="24"/>
        </w:rPr>
      </w:pPr>
    </w:p>
    <w:p w:rsidR="00271D26" w:rsidRPr="00B17332" w:rsidP="00B17332">
      <w:pPr>
        <w:rPr>
          <w:rFonts w:cs="Arial"/>
          <w:szCs w:val="24"/>
        </w:rPr>
      </w:pPr>
      <w:r w:rsidRPr="00271D26">
        <w:rPr>
          <w:rFonts w:cs="Arial"/>
          <w:szCs w:val="24"/>
        </w:rPr>
        <w:t>If the outcome of the statut</w:t>
      </w:r>
      <w:r w:rsidRPr="00271D26">
        <w:rPr>
          <w:rFonts w:cs="Arial"/>
          <w:szCs w:val="24"/>
        </w:rPr>
        <w:t>ory consultation process means that the school's age range is permanently lowered, from 11-18 years to 11-16 years, this will mean that they no longer need to accommodate a sixth form</w:t>
      </w:r>
      <w:r>
        <w:rPr>
          <w:rFonts w:cs="Arial"/>
          <w:szCs w:val="24"/>
        </w:rPr>
        <w:t xml:space="preserve">.  </w:t>
      </w:r>
      <w:r w:rsidRPr="00271D26">
        <w:rPr>
          <w:rFonts w:cs="Arial"/>
          <w:szCs w:val="24"/>
        </w:rPr>
        <w:t>Should this be the case, LCC officers will discuss with the school how</w:t>
      </w:r>
      <w:r w:rsidRPr="00271D26">
        <w:rPr>
          <w:rFonts w:cs="Arial"/>
          <w:szCs w:val="24"/>
        </w:rPr>
        <w:t xml:space="preserve"> this </w:t>
      </w:r>
      <w:r>
        <w:rPr>
          <w:rFonts w:cs="Arial"/>
          <w:szCs w:val="24"/>
        </w:rPr>
        <w:t xml:space="preserve">building </w:t>
      </w:r>
      <w:r w:rsidRPr="00271D26">
        <w:rPr>
          <w:rFonts w:cs="Arial"/>
          <w:szCs w:val="24"/>
        </w:rPr>
        <w:t>capacity could be utilised in future years.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94DF0"/>
    <w:multiLevelType w:val="hybridMultilevel"/>
    <w:tmpl w:val="87DC882C"/>
    <w:lvl w:ilvl="0">
      <w:start w:val="1"/>
      <w:numFmt w:val="bullet"/>
      <w:lvlText w:val=""/>
      <w:lvlJc w:val="left"/>
      <w:pPr>
        <w:ind w:left="787"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AC22D2"/>
    <w:multiLevelType w:val="hybridMultilevel"/>
    <w:tmpl w:val="8A824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
    <w:nsid w:val="6DF174A0"/>
    <w:multiLevelType w:val="hybridMultilevel"/>
    <w:tmpl w:val="19727128"/>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D2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26"/>
    <w:pPr>
      <w:ind w:left="720"/>
      <w:contextualSpacing/>
    </w:pPr>
  </w:style>
  <w:style w:type="paragraph" w:customStyle="1" w:styleId="N1">
    <w:name w:val="N1"/>
    <w:basedOn w:val="Normal"/>
    <w:next w:val="N2"/>
    <w:rsid w:val="00271D26"/>
    <w:pPr>
      <w:numPr>
        <w:numId w:val="4"/>
      </w:numPr>
      <w:spacing w:before="160" w:line="220" w:lineRule="atLeast"/>
      <w:jc w:val="both"/>
    </w:pPr>
    <w:rPr>
      <w:rFonts w:ascii="Times New Roman" w:hAnsi="Times New Roman"/>
      <w:sz w:val="21"/>
      <w:lang w:eastAsia="en-US"/>
    </w:rPr>
  </w:style>
  <w:style w:type="paragraph" w:customStyle="1" w:styleId="N2">
    <w:name w:val="N2"/>
    <w:basedOn w:val="N1"/>
    <w:link w:val="N2Char"/>
    <w:rsid w:val="00271D26"/>
    <w:pPr>
      <w:numPr>
        <w:ilvl w:val="1"/>
      </w:numPr>
      <w:tabs>
        <w:tab w:val="num" w:pos="1440"/>
      </w:tabs>
      <w:spacing w:before="80"/>
      <w:ind w:left="1440" w:hanging="720"/>
    </w:pPr>
  </w:style>
  <w:style w:type="character" w:customStyle="1" w:styleId="N2Char">
    <w:name w:val="N2 Char"/>
    <w:link w:val="N2"/>
    <w:locked/>
    <w:rsid w:val="00271D26"/>
    <w:rPr>
      <w:rFonts w:ascii="Times New Roman" w:eastAsia="Times New Roman" w:hAnsi="Times New Roman" w:cs="Times New Roman"/>
      <w:sz w:val="21"/>
      <w:szCs w:val="20"/>
    </w:rPr>
  </w:style>
  <w:style w:type="paragraph" w:customStyle="1" w:styleId="N3">
    <w:name w:val="N3"/>
    <w:basedOn w:val="N2"/>
    <w:link w:val="N3Char"/>
    <w:rsid w:val="00271D26"/>
    <w:pPr>
      <w:numPr>
        <w:ilvl w:val="2"/>
      </w:numPr>
      <w:tabs>
        <w:tab w:val="clear" w:pos="737"/>
        <w:tab w:val="num" w:pos="2160"/>
      </w:tabs>
      <w:ind w:left="2160" w:hanging="720"/>
    </w:pPr>
  </w:style>
  <w:style w:type="character" w:customStyle="1" w:styleId="N3Char">
    <w:name w:val="N3 Char"/>
    <w:link w:val="N3"/>
    <w:rsid w:val="00271D26"/>
    <w:rPr>
      <w:rFonts w:ascii="Times New Roman" w:eastAsia="Times New Roman" w:hAnsi="Times New Roman" w:cs="Times New Roman"/>
      <w:sz w:val="21"/>
      <w:szCs w:val="20"/>
    </w:rPr>
  </w:style>
  <w:style w:type="paragraph" w:customStyle="1" w:styleId="N4">
    <w:name w:val="N4"/>
    <w:basedOn w:val="N3"/>
    <w:rsid w:val="00271D26"/>
    <w:pPr>
      <w:numPr>
        <w:ilvl w:val="4"/>
      </w:numPr>
      <w:tabs>
        <w:tab w:val="num" w:pos="360"/>
        <w:tab w:val="clear" w:pos="1701"/>
        <w:tab w:val="num" w:pos="2880"/>
        <w:tab w:val="num" w:pos="3600"/>
      </w:tabs>
      <w:ind w:left="2880" w:hanging="720"/>
    </w:pPr>
  </w:style>
  <w:style w:type="paragraph" w:styleId="BalloonText">
    <w:name w:val="Balloon Text"/>
    <w:basedOn w:val="Normal"/>
    <w:link w:val="BalloonTextChar"/>
    <w:uiPriority w:val="99"/>
    <w:semiHidden/>
    <w:unhideWhenUsed/>
    <w:rsid w:val="0040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B7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5</cp:revision>
  <dcterms:created xsi:type="dcterms:W3CDTF">2017-11-07T11:02:00Z</dcterms:created>
  <dcterms:modified xsi:type="dcterms:W3CDTF">2017-11-14T10:44:00Z</dcterms:modified>
</cp:coreProperties>
</file>